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E5" w:rsidRDefault="005B286F" w:rsidP="00C70354">
      <w:pPr>
        <w:tabs>
          <w:tab w:val="left" w:pos="0"/>
        </w:tabs>
        <w:rPr>
          <w:lang w:val="en-US"/>
        </w:rPr>
      </w:pPr>
      <w:r>
        <w:rPr>
          <w:noProof/>
          <w:lang w:eastAsia="el-GR"/>
        </w:rPr>
        <w:drawing>
          <wp:inline distT="0" distB="0" distL="0" distR="0">
            <wp:extent cx="5934973" cy="776378"/>
            <wp:effectExtent l="304800" t="304800" r="294640" b="30988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NEW KEG 9-10-2015.jpg"/>
                    <pic:cNvPicPr preferRelativeResize="0"/>
                  </pic:nvPicPr>
                  <pic:blipFill>
                    <a:blip r:embed="rId4"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27224" cy="775364"/>
                    </a:xfrm>
                    <a:prstGeom prst="round2DiagRect">
                      <a:avLst>
                        <a:gd name="adj1" fmla="val 16667"/>
                        <a:gd name="adj2" fmla="val 0"/>
                      </a:avLst>
                    </a:prstGeom>
                    <a:ln w="88900" cap="sq">
                      <a:solidFill>
                        <a:schemeClr val="accent5">
                          <a:lumMod val="50000"/>
                        </a:schemeClr>
                      </a:solidFill>
                      <a:miter lim="800000"/>
                    </a:ln>
                    <a:effectLst>
                      <a:glow rad="63500">
                        <a:schemeClr val="accent6">
                          <a:satMod val="175000"/>
                          <a:alpha val="40000"/>
                        </a:schemeClr>
                      </a:glow>
                      <a:outerShdw blurRad="254000" algn="tl" rotWithShape="0">
                        <a:srgbClr val="000000">
                          <a:alpha val="43000"/>
                        </a:srgbClr>
                      </a:outerShdw>
                      <a:softEdge rad="63500"/>
                    </a:effectLst>
                  </pic:spPr>
                </pic:pic>
              </a:graphicData>
            </a:graphic>
          </wp:inline>
        </w:drawing>
      </w:r>
    </w:p>
    <w:tbl>
      <w:tblPr>
        <w:tblStyle w:val="a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4"/>
        <w:gridCol w:w="3608"/>
      </w:tblGrid>
      <w:tr w:rsidR="001406FD" w:rsidRPr="008606DE" w:rsidTr="00EC3C56">
        <w:tc>
          <w:tcPr>
            <w:tcW w:w="1544" w:type="dxa"/>
          </w:tcPr>
          <w:p w:rsidR="001406FD" w:rsidRPr="008606DE" w:rsidRDefault="001406FD" w:rsidP="001406FD">
            <w:pPr>
              <w:jc w:val="right"/>
              <w:rPr>
                <w:b/>
                <w:color w:val="215868" w:themeColor="accent5" w:themeShade="80"/>
              </w:rPr>
            </w:pPr>
            <w:r w:rsidRPr="008606DE">
              <w:rPr>
                <w:b/>
                <w:color w:val="215868" w:themeColor="accent5" w:themeShade="80"/>
              </w:rPr>
              <w:t>ΙΣΤΟΣΕΛΙΔΕΣ:</w:t>
            </w:r>
          </w:p>
        </w:tc>
        <w:tc>
          <w:tcPr>
            <w:tcW w:w="3608" w:type="dxa"/>
          </w:tcPr>
          <w:p w:rsidR="001406FD" w:rsidRPr="008606DE" w:rsidRDefault="001406FD" w:rsidP="001406FD">
            <w:pPr>
              <w:rPr>
                <w:b/>
                <w:color w:val="215868" w:themeColor="accent5" w:themeShade="80"/>
              </w:rPr>
            </w:pPr>
            <w:r w:rsidRPr="008606DE">
              <w:rPr>
                <w:b/>
                <w:color w:val="215868" w:themeColor="accent5" w:themeShade="80"/>
              </w:rPr>
              <w:t>www.greek-language.gr</w:t>
            </w:r>
          </w:p>
          <w:p w:rsidR="001406FD" w:rsidRPr="008606DE" w:rsidRDefault="001406FD" w:rsidP="001406FD">
            <w:pPr>
              <w:rPr>
                <w:b/>
                <w:color w:val="215868" w:themeColor="accent5" w:themeShade="80"/>
              </w:rPr>
            </w:pPr>
            <w:r w:rsidRPr="008606DE">
              <w:rPr>
                <w:b/>
                <w:color w:val="215868" w:themeColor="accent5" w:themeShade="80"/>
              </w:rPr>
              <w:t>www.greeklanguage.gr</w:t>
            </w:r>
          </w:p>
          <w:p w:rsidR="001406FD" w:rsidRPr="008606DE" w:rsidRDefault="001406FD" w:rsidP="001406FD">
            <w:pPr>
              <w:rPr>
                <w:b/>
                <w:color w:val="215868" w:themeColor="accent5" w:themeShade="80"/>
              </w:rPr>
            </w:pPr>
            <w:r w:rsidRPr="008606DE">
              <w:rPr>
                <w:b/>
                <w:color w:val="215868" w:themeColor="accent5" w:themeShade="80"/>
              </w:rPr>
              <w:t>elearning.greek-language.gr</w:t>
            </w:r>
          </w:p>
          <w:p w:rsidR="001406FD" w:rsidRPr="008606DE" w:rsidRDefault="001406FD" w:rsidP="001406FD">
            <w:pPr>
              <w:rPr>
                <w:color w:val="215868" w:themeColor="accent5" w:themeShade="80"/>
              </w:rPr>
            </w:pPr>
            <w:r w:rsidRPr="008606DE">
              <w:rPr>
                <w:b/>
                <w:color w:val="215868" w:themeColor="accent5" w:themeShade="80"/>
              </w:rPr>
              <w:t>www.fryktories.gr</w:t>
            </w:r>
          </w:p>
        </w:tc>
      </w:tr>
      <w:tr w:rsidR="001406FD" w:rsidRPr="008606DE" w:rsidTr="00EC3C56">
        <w:tc>
          <w:tcPr>
            <w:tcW w:w="1544" w:type="dxa"/>
          </w:tcPr>
          <w:p w:rsidR="007B04C6" w:rsidRPr="008606DE" w:rsidRDefault="001406FD" w:rsidP="001406FD">
            <w:pPr>
              <w:jc w:val="right"/>
              <w:rPr>
                <w:b/>
                <w:color w:val="215868" w:themeColor="accent5" w:themeShade="80"/>
                <w:lang w:val="en-US"/>
              </w:rPr>
            </w:pPr>
            <w:r w:rsidRPr="008606DE">
              <w:rPr>
                <w:b/>
                <w:color w:val="215868" w:themeColor="accent5" w:themeShade="80"/>
              </w:rPr>
              <w:t>Διεύθυνση:</w:t>
            </w:r>
          </w:p>
        </w:tc>
        <w:tc>
          <w:tcPr>
            <w:tcW w:w="3608" w:type="dxa"/>
          </w:tcPr>
          <w:p w:rsidR="007B04C6" w:rsidRPr="008606DE" w:rsidRDefault="001406FD" w:rsidP="001406FD">
            <w:pPr>
              <w:rPr>
                <w:color w:val="215868" w:themeColor="accent5" w:themeShade="80"/>
              </w:rPr>
            </w:pPr>
            <w:r w:rsidRPr="008606DE">
              <w:rPr>
                <w:color w:val="215868" w:themeColor="accent5" w:themeShade="80"/>
              </w:rPr>
              <w:t xml:space="preserve"> Καραμαούνα 1, Πλ. Σκρα</w:t>
            </w:r>
          </w:p>
          <w:p w:rsidR="001406FD" w:rsidRPr="00EC3C56" w:rsidRDefault="001406FD" w:rsidP="001406FD">
            <w:pPr>
              <w:rPr>
                <w:color w:val="215868" w:themeColor="accent5" w:themeShade="80"/>
              </w:rPr>
            </w:pPr>
            <w:r w:rsidRPr="008606DE">
              <w:rPr>
                <w:color w:val="215868" w:themeColor="accent5" w:themeShade="80"/>
              </w:rPr>
              <w:t>ΤΚ 55132, Καλαμαριά Θεσσαλονίκης</w:t>
            </w:r>
          </w:p>
        </w:tc>
      </w:tr>
      <w:tr w:rsidR="001406FD" w:rsidRPr="008606DE" w:rsidTr="00EC3C56">
        <w:tc>
          <w:tcPr>
            <w:tcW w:w="1544" w:type="dxa"/>
          </w:tcPr>
          <w:p w:rsidR="007B04C6" w:rsidRPr="008606DE" w:rsidRDefault="001406FD" w:rsidP="001406FD">
            <w:pPr>
              <w:jc w:val="right"/>
              <w:rPr>
                <w:b/>
                <w:color w:val="215868" w:themeColor="accent5" w:themeShade="80"/>
                <w:lang w:val="en-US"/>
              </w:rPr>
            </w:pPr>
            <w:r w:rsidRPr="008606DE">
              <w:rPr>
                <w:b/>
                <w:color w:val="215868" w:themeColor="accent5" w:themeShade="80"/>
              </w:rPr>
              <w:t>Τηλέφωνο</w:t>
            </w:r>
            <w:r w:rsidR="007B04C6" w:rsidRPr="008606DE">
              <w:rPr>
                <w:b/>
                <w:color w:val="215868" w:themeColor="accent5" w:themeShade="80"/>
              </w:rPr>
              <w:t>:</w:t>
            </w:r>
          </w:p>
        </w:tc>
        <w:tc>
          <w:tcPr>
            <w:tcW w:w="3608" w:type="dxa"/>
          </w:tcPr>
          <w:p w:rsidR="007B04C6" w:rsidRPr="008606DE" w:rsidRDefault="001406FD" w:rsidP="001406FD">
            <w:pPr>
              <w:rPr>
                <w:color w:val="215868" w:themeColor="accent5" w:themeShade="80"/>
                <w:lang w:val="en-US"/>
              </w:rPr>
            </w:pPr>
            <w:r w:rsidRPr="008606DE">
              <w:rPr>
                <w:color w:val="215868" w:themeColor="accent5" w:themeShade="80"/>
              </w:rPr>
              <w:t>(+30) 2313 331500</w:t>
            </w:r>
          </w:p>
        </w:tc>
      </w:tr>
      <w:tr w:rsidR="001406FD" w:rsidRPr="008606DE" w:rsidTr="00EC3C56">
        <w:trPr>
          <w:trHeight w:val="181"/>
        </w:trPr>
        <w:tc>
          <w:tcPr>
            <w:tcW w:w="1544" w:type="dxa"/>
          </w:tcPr>
          <w:p w:rsidR="001406FD" w:rsidRPr="008606DE" w:rsidRDefault="001406FD" w:rsidP="001406FD">
            <w:pPr>
              <w:jc w:val="right"/>
              <w:rPr>
                <w:b/>
                <w:color w:val="215868" w:themeColor="accent5" w:themeShade="80"/>
                <w:lang w:val="en-US"/>
              </w:rPr>
            </w:pPr>
            <w:r w:rsidRPr="008606DE">
              <w:rPr>
                <w:b/>
                <w:color w:val="215868" w:themeColor="accent5" w:themeShade="80"/>
                <w:lang w:val="en-US"/>
              </w:rPr>
              <w:t>Fax:</w:t>
            </w:r>
          </w:p>
        </w:tc>
        <w:tc>
          <w:tcPr>
            <w:tcW w:w="3608" w:type="dxa"/>
          </w:tcPr>
          <w:p w:rsidR="001406FD" w:rsidRPr="008606DE" w:rsidRDefault="001406FD" w:rsidP="001406FD">
            <w:pPr>
              <w:rPr>
                <w:color w:val="215868" w:themeColor="accent5" w:themeShade="80"/>
                <w:lang w:val="en-US"/>
              </w:rPr>
            </w:pPr>
            <w:r w:rsidRPr="008606DE">
              <w:rPr>
                <w:color w:val="215868" w:themeColor="accent5" w:themeShade="80"/>
                <w:lang w:val="en-US"/>
              </w:rPr>
              <w:t xml:space="preserve">(+30) 2313 331502  </w:t>
            </w:r>
          </w:p>
        </w:tc>
      </w:tr>
      <w:tr w:rsidR="001406FD" w:rsidRPr="008606DE" w:rsidTr="00EC3C56">
        <w:trPr>
          <w:trHeight w:val="181"/>
        </w:trPr>
        <w:tc>
          <w:tcPr>
            <w:tcW w:w="1544" w:type="dxa"/>
          </w:tcPr>
          <w:p w:rsidR="007B04C6" w:rsidRPr="008606DE" w:rsidRDefault="007B04C6" w:rsidP="001406FD">
            <w:pPr>
              <w:jc w:val="right"/>
              <w:rPr>
                <w:b/>
                <w:color w:val="215868" w:themeColor="accent5" w:themeShade="80"/>
                <w:lang w:val="en-US"/>
              </w:rPr>
            </w:pPr>
            <w:r w:rsidRPr="008606DE">
              <w:rPr>
                <w:b/>
                <w:color w:val="215868" w:themeColor="accent5" w:themeShade="80"/>
                <w:lang w:val="en-US"/>
              </w:rPr>
              <w:t>E</w:t>
            </w:r>
            <w:r w:rsidRPr="008606DE">
              <w:rPr>
                <w:b/>
                <w:color w:val="215868" w:themeColor="accent5" w:themeShade="80"/>
              </w:rPr>
              <w:t>-</w:t>
            </w:r>
            <w:r w:rsidRPr="008606DE">
              <w:rPr>
                <w:b/>
                <w:color w:val="215868" w:themeColor="accent5" w:themeShade="80"/>
                <w:lang w:val="en-US"/>
              </w:rPr>
              <w:t>mail</w:t>
            </w:r>
            <w:r w:rsidRPr="008606DE">
              <w:rPr>
                <w:b/>
                <w:color w:val="215868" w:themeColor="accent5" w:themeShade="80"/>
              </w:rPr>
              <w:t>:</w:t>
            </w:r>
          </w:p>
        </w:tc>
        <w:tc>
          <w:tcPr>
            <w:tcW w:w="3608" w:type="dxa"/>
          </w:tcPr>
          <w:p w:rsidR="007B04C6" w:rsidRPr="008606DE" w:rsidRDefault="001406FD" w:rsidP="001406FD">
            <w:pPr>
              <w:rPr>
                <w:color w:val="215868" w:themeColor="accent5" w:themeShade="80"/>
              </w:rPr>
            </w:pPr>
            <w:r w:rsidRPr="008606DE">
              <w:rPr>
                <w:color w:val="215868" w:themeColor="accent5" w:themeShade="80"/>
              </w:rPr>
              <w:t xml:space="preserve"> centre@komvos.edu.gr  </w:t>
            </w:r>
          </w:p>
        </w:tc>
      </w:tr>
    </w:tbl>
    <w:p w:rsidR="007B04C6" w:rsidRPr="007B04C6" w:rsidRDefault="007B04C6" w:rsidP="007B04C6">
      <w:r w:rsidRPr="007B04C6">
        <w:tab/>
      </w:r>
    </w:p>
    <w:p w:rsidR="001406FD" w:rsidRPr="001406FD" w:rsidRDefault="001406FD" w:rsidP="001406FD">
      <w:pPr>
        <w:jc w:val="center"/>
        <w:rPr>
          <w:b/>
        </w:rPr>
      </w:pPr>
    </w:p>
    <w:p w:rsidR="001406FD" w:rsidRPr="00B26017" w:rsidRDefault="001406FD" w:rsidP="001406FD">
      <w:pPr>
        <w:jc w:val="center"/>
        <w:rPr>
          <w:sz w:val="36"/>
          <w:u w:val="single"/>
        </w:rPr>
      </w:pPr>
      <w:r w:rsidRPr="00B26017">
        <w:rPr>
          <w:sz w:val="36"/>
          <w:u w:val="single"/>
        </w:rPr>
        <w:t>ΕΝΗΜΕΡΩΤΙΚΟ ΔΕΛΤΙΟ</w:t>
      </w:r>
    </w:p>
    <w:p w:rsidR="001406FD" w:rsidRPr="008606DE" w:rsidRDefault="001406FD" w:rsidP="001406FD">
      <w:pPr>
        <w:jc w:val="center"/>
        <w:rPr>
          <w:b/>
          <w:sz w:val="28"/>
        </w:rPr>
      </w:pPr>
    </w:p>
    <w:p w:rsidR="001406FD" w:rsidRPr="00366509" w:rsidRDefault="001406FD" w:rsidP="001406FD">
      <w:pPr>
        <w:spacing w:after="0"/>
        <w:jc w:val="center"/>
        <w:rPr>
          <w:b/>
          <w:sz w:val="28"/>
        </w:rPr>
      </w:pPr>
      <w:r w:rsidRPr="00366509">
        <w:rPr>
          <w:b/>
          <w:sz w:val="28"/>
        </w:rPr>
        <w:t>ΔΙΟΡΓΑΝΩΣΗ ΗΜΕΡΙΔΑΣ ΜΕ ΘΕΜΑ:</w:t>
      </w:r>
    </w:p>
    <w:p w:rsidR="001406FD" w:rsidRPr="00366509" w:rsidRDefault="001406FD" w:rsidP="001406FD">
      <w:pPr>
        <w:spacing w:after="0"/>
        <w:jc w:val="center"/>
        <w:rPr>
          <w:b/>
          <w:sz w:val="28"/>
        </w:rPr>
      </w:pPr>
      <w:r w:rsidRPr="00366509">
        <w:rPr>
          <w:b/>
          <w:sz w:val="28"/>
        </w:rPr>
        <w:t>«Ψηφιακά μέσα και διδασκαλία των γλωσσικών μαθημάτων»</w:t>
      </w:r>
    </w:p>
    <w:p w:rsidR="001406FD" w:rsidRDefault="001406FD" w:rsidP="001406FD"/>
    <w:p w:rsidR="001406FD" w:rsidRDefault="001406FD" w:rsidP="001406FD">
      <w:pPr>
        <w:ind w:left="567" w:firstLine="284"/>
        <w:jc w:val="both"/>
      </w:pPr>
      <w:r>
        <w:tab/>
        <w:t>Στο πλαίσιο εορτασμού των 20 χρόνων λειτουργίας του, το Κέντρο Ελληνικής Γλώσσας σε συνεργασία με την Αντιδημαρχία Παιδείας, Αθλητισμού, Πολιτισμού, Νεολαίας &amp; Δι</w:t>
      </w:r>
      <w:r w:rsidR="008606DE">
        <w:t>ά</w:t>
      </w:r>
      <w:r>
        <w:t xml:space="preserve"> Βίου Μάθησης του Δήμου Καλαμαριάς διοργανώνουν ημερίδα με θέμα </w:t>
      </w:r>
      <w:r w:rsidRPr="00AD1947">
        <w:rPr>
          <w:i/>
        </w:rPr>
        <w:t>«Ψηφιακά μέσα &amp;</w:t>
      </w:r>
      <w:r w:rsidR="00AD1947" w:rsidRPr="00AD1947">
        <w:rPr>
          <w:i/>
        </w:rPr>
        <w:t xml:space="preserve"> </w:t>
      </w:r>
      <w:r w:rsidRPr="00AD1947">
        <w:rPr>
          <w:i/>
        </w:rPr>
        <w:t>διδασκαλία των γλωσσικών μαθημάτων»</w:t>
      </w:r>
      <w:r>
        <w:t xml:space="preserve">. </w:t>
      </w:r>
      <w:r w:rsidR="008D0410">
        <w:t xml:space="preserve">Θα </w:t>
      </w:r>
      <w:r>
        <w:t>πραγματοποιηθεί στην αίθουσα του Δημοτικού Συμβουλίου του Δήμου (Καραμαούνα 1 - Πλατεία Σκρα) από 09:00 έως 13:00, το Σάββατο 7 Νοε</w:t>
      </w:r>
      <w:r w:rsidR="008D0410">
        <w:t>μβρίου 2015 και απευθύνεται σε Σχολικούς Σ</w:t>
      </w:r>
      <w:r>
        <w:t xml:space="preserve">υμβούλους </w:t>
      </w:r>
      <w:r w:rsidR="008D0410">
        <w:t>Φιλολόγων, Διευθυντές</w:t>
      </w:r>
      <w:r w:rsidR="00E12E62">
        <w:t xml:space="preserve"> </w:t>
      </w:r>
      <w:r w:rsidR="008D0410">
        <w:t>και Φιλολόγους των Σχολικών Μ</w:t>
      </w:r>
      <w:r>
        <w:t xml:space="preserve">ονάδων </w:t>
      </w:r>
      <w:r w:rsidR="008D0410">
        <w:t>Δευτεροβάθμιας Ε</w:t>
      </w:r>
      <w:r>
        <w:t xml:space="preserve">κπαίδευσης Ανατολικής και Δυτικής Θεσσαλονίκης. </w:t>
      </w:r>
    </w:p>
    <w:p w:rsidR="008D0410" w:rsidRPr="00661CA6" w:rsidRDefault="008D0410" w:rsidP="008D0410">
      <w:pPr>
        <w:ind w:left="567" w:firstLine="284"/>
        <w:jc w:val="both"/>
      </w:pPr>
      <w:r>
        <w:t>Η ημερίδα έχει</w:t>
      </w:r>
      <w:r w:rsidR="001406FD">
        <w:t xml:space="preserve"> τη μορφή εργαστηρίου και εστιάζει στη νεοελληνική γλώσσα, με υπεύθυνο τον κ. Δημήτρη Κουτσογιάννη, Καθηγητή της Φιλοσοφικής Σχολής του ΑΠΘ και Αναπληρωτή Πρόεδρο του ΚΕΓ, και στη νεοελληνική λογοτεχνία, με υπεύθυνο τον κ. Βασίλη Βασιλειάδη, δ.φ., Επιστημο</w:t>
      </w:r>
      <w:r w:rsidR="00661CA6">
        <w:t>νικό Συνεργάτη του ΚΕΓ.</w:t>
      </w:r>
    </w:p>
    <w:p w:rsidR="00F3683C" w:rsidRDefault="001406FD" w:rsidP="008D0410">
      <w:pPr>
        <w:ind w:left="567" w:firstLine="284"/>
        <w:jc w:val="both"/>
      </w:pPr>
      <w:r>
        <w:t>Οι αιτή</w:t>
      </w:r>
      <w:r w:rsidR="00F3683C">
        <w:t xml:space="preserve">σεις συμμετοχής </w:t>
      </w:r>
      <w:r>
        <w:t xml:space="preserve">αποστέλλονται στην ηλεκτρονική διεύθυνση </w:t>
      </w:r>
      <w:r w:rsidRPr="008D0410">
        <w:rPr>
          <w:b/>
          <w:color w:val="215868" w:themeColor="accent5" w:themeShade="80"/>
        </w:rPr>
        <w:t>centre@komvos.edu.gr</w:t>
      </w:r>
      <w:r w:rsidR="00F3683C">
        <w:t xml:space="preserve"> </w:t>
      </w:r>
      <w:r w:rsidR="00236E29">
        <w:t xml:space="preserve"> και θα γίνονται </w:t>
      </w:r>
      <w:r w:rsidR="008606DE">
        <w:t>δεκτές</w:t>
      </w:r>
      <w:r w:rsidR="00661CA6">
        <w:t xml:space="preserve"> μέχρι </w:t>
      </w:r>
      <w:r w:rsidR="00E12E62">
        <w:t xml:space="preserve">τη συμπλήρωση του απαιτούμενου, για το εργαστήριο, αριθμού </w:t>
      </w:r>
      <w:r w:rsidR="00236E29">
        <w:t xml:space="preserve">συμμετοχών. </w:t>
      </w:r>
      <w:r w:rsidR="00E12E62">
        <w:t xml:space="preserve">Για το λόγο αυτό </w:t>
      </w:r>
      <w:r w:rsidR="00236E29">
        <w:t>θα τηρηθεί σειρά προτεραιότητας.</w:t>
      </w:r>
    </w:p>
    <w:p w:rsidR="001406FD" w:rsidRDefault="001406FD" w:rsidP="001406FD">
      <w:pPr>
        <w:ind w:left="567" w:firstLine="284"/>
        <w:jc w:val="both"/>
      </w:pPr>
      <w:r>
        <w:t xml:space="preserve">Με την ολοκλήρωση της ημερίδας θα δοθούν στους συμμετέχοντες Βεβαιώσεις Παρακολούθησης. </w:t>
      </w:r>
    </w:p>
    <w:p w:rsidR="001406FD" w:rsidRDefault="001406FD" w:rsidP="001406FD">
      <w:pPr>
        <w:ind w:left="567" w:firstLine="284"/>
        <w:jc w:val="both"/>
      </w:pPr>
      <w:bookmarkStart w:id="0" w:name="_GoBack"/>
      <w:bookmarkEnd w:id="0"/>
    </w:p>
    <w:sectPr w:rsidR="001406FD" w:rsidSect="00465FB2">
      <w:pgSz w:w="11906" w:h="16838"/>
      <w:pgMar w:top="568" w:right="127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6"/>
  <w:defaultTabStop w:val="720"/>
  <w:characterSpacingControl w:val="doNotCompress"/>
  <w:compat/>
  <w:rsids>
    <w:rsidRoot w:val="005B286F"/>
    <w:rsid w:val="001406FD"/>
    <w:rsid w:val="001D5A7F"/>
    <w:rsid w:val="00236E29"/>
    <w:rsid w:val="0024032A"/>
    <w:rsid w:val="002E3A55"/>
    <w:rsid w:val="002E41B8"/>
    <w:rsid w:val="00366509"/>
    <w:rsid w:val="00465FB2"/>
    <w:rsid w:val="005B286F"/>
    <w:rsid w:val="005F0968"/>
    <w:rsid w:val="00661CA6"/>
    <w:rsid w:val="007B0156"/>
    <w:rsid w:val="007B04C6"/>
    <w:rsid w:val="008606DE"/>
    <w:rsid w:val="008D0410"/>
    <w:rsid w:val="00954E1B"/>
    <w:rsid w:val="00AD1947"/>
    <w:rsid w:val="00AD6634"/>
    <w:rsid w:val="00B210E5"/>
    <w:rsid w:val="00B26017"/>
    <w:rsid w:val="00B51992"/>
    <w:rsid w:val="00BD68CC"/>
    <w:rsid w:val="00C0526F"/>
    <w:rsid w:val="00C70354"/>
    <w:rsid w:val="00D40198"/>
    <w:rsid w:val="00E12E62"/>
    <w:rsid w:val="00EA7E5A"/>
    <w:rsid w:val="00EC3C56"/>
    <w:rsid w:val="00F3683C"/>
    <w:rsid w:val="00F860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E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28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B286F"/>
    <w:rPr>
      <w:rFonts w:ascii="Tahoma" w:hAnsi="Tahoma" w:cs="Tahoma"/>
      <w:sz w:val="16"/>
      <w:szCs w:val="16"/>
    </w:rPr>
  </w:style>
  <w:style w:type="table" w:styleId="a4">
    <w:name w:val="Table Grid"/>
    <w:basedOn w:val="a1"/>
    <w:uiPriority w:val="59"/>
    <w:rsid w:val="007B0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28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B286F"/>
    <w:rPr>
      <w:rFonts w:ascii="Tahoma" w:hAnsi="Tahoma" w:cs="Tahoma"/>
      <w:sz w:val="16"/>
      <w:szCs w:val="16"/>
    </w:rPr>
  </w:style>
  <w:style w:type="table" w:styleId="a4">
    <w:name w:val="Table Grid"/>
    <w:basedOn w:val="a1"/>
    <w:uiPriority w:val="59"/>
    <w:rsid w:val="007B0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246</Words>
  <Characters>1333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G.Vlachos-KEG</dc:creator>
  <cp:lastModifiedBy>USER</cp:lastModifiedBy>
  <cp:revision>11</cp:revision>
  <cp:lastPrinted>2015-10-27T11:40:00Z</cp:lastPrinted>
  <dcterms:created xsi:type="dcterms:W3CDTF">2015-10-27T11:48:00Z</dcterms:created>
  <dcterms:modified xsi:type="dcterms:W3CDTF">2015-10-29T11:02:00Z</dcterms:modified>
</cp:coreProperties>
</file>